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both"/>
        <w:outlineLvl w:val="0"/>
        <w:rPr>
          <w:sz w:val="28"/>
          <w:szCs w:val="28"/>
        </w:rPr>
      </w:pPr>
      <w:r>
        <w:rPr>
          <w:b w:val="1"/>
          <w:bCs w:val="1"/>
          <w:rtl w:val="0"/>
          <w:lang w:val="en-US"/>
        </w:rPr>
        <w:t xml:space="preserve">                                    </w:t>
      </w:r>
    </w:p>
    <w:p>
      <w:pPr>
        <w:pStyle w:val="Normal.0"/>
        <w:jc w:val="both"/>
        <w:rPr>
          <w:sz w:val="28"/>
          <w:szCs w:val="28"/>
        </w:rPr>
      </w:pPr>
    </w:p>
    <w:p>
      <w:pPr>
        <w:pStyle w:val="Normal.0"/>
      </w:pPr>
    </w:p>
    <w:p>
      <w:pPr>
        <w:pStyle w:val="Normal.0"/>
      </w:pPr>
    </w:p>
    <w:p>
      <w:pPr>
        <w:pStyle w:val="Normal.0"/>
        <w:jc w:val="both"/>
        <w:rPr>
          <w:sz w:val="28"/>
          <w:szCs w:val="28"/>
        </w:rPr>
      </w:pPr>
    </w:p>
    <w:p>
      <w:pPr>
        <w:pStyle w:val="Normal.0"/>
        <w:jc w:val="both"/>
        <w:rPr>
          <w:sz w:val="28"/>
          <w:szCs w:val="28"/>
        </w:rPr>
      </w:pPr>
    </w:p>
    <w:p>
      <w:pPr>
        <w:pStyle w:val="Normal.0"/>
        <w:jc w:val="both"/>
        <w:rPr>
          <w:sz w:val="28"/>
          <w:szCs w:val="28"/>
        </w:rPr>
      </w:pPr>
    </w:p>
    <w:tbl>
      <w:tblPr>
        <w:tblW w:w="9890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71"/>
        <w:gridCol w:w="1323"/>
        <w:gridCol w:w="170"/>
        <w:gridCol w:w="1076"/>
        <w:gridCol w:w="950"/>
        <w:gridCol w:w="321"/>
        <w:gridCol w:w="1755"/>
        <w:gridCol w:w="642"/>
        <w:gridCol w:w="3082"/>
      </w:tblGrid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441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Име и презиме </w:t>
            </w:r>
          </w:p>
        </w:tc>
        <w:tc>
          <w:tcPr>
            <w:tcW w:type="dxa" w:w="547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Зоран Влаховић 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441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Звање</w:t>
            </w:r>
          </w:p>
        </w:tc>
        <w:tc>
          <w:tcPr>
            <w:tcW w:type="dxa" w:w="547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ванредни професор</w:t>
            </w:r>
          </w:p>
        </w:tc>
      </w:tr>
      <w:tr>
        <w:tblPrEx>
          <w:shd w:val="clear" w:color="auto" w:fill="ced7e7"/>
        </w:tblPrEx>
        <w:trPr>
          <w:trHeight w:val="680" w:hRule="atLeast"/>
        </w:trPr>
        <w:tc>
          <w:tcPr>
            <w:tcW w:type="dxa" w:w="441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Назив институције у  којој наставник ради са пуним радним временом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датум заснивања радног односа</w:t>
            </w:r>
          </w:p>
        </w:tc>
        <w:tc>
          <w:tcPr>
            <w:tcW w:type="dxa" w:w="547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Универзитет у Приштини</w:t>
            </w:r>
            <w:r>
              <w:rPr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sz w:val="18"/>
                <w:szCs w:val="18"/>
                <w:rtl w:val="0"/>
                <w:lang w:val="en-US"/>
              </w:rPr>
              <w:t>Медицински факултет у Приштини са привременим седиштем у Косовској Митровици</w:t>
            </w:r>
            <w:r>
              <w:rPr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sz w:val="18"/>
                <w:szCs w:val="18"/>
                <w:rtl w:val="0"/>
                <w:lang w:val="en-US"/>
              </w:rPr>
              <w:t>Одсек стоматологије  Катедра стоматологије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441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Ужа научна област</w:t>
            </w:r>
          </w:p>
        </w:tc>
        <w:tc>
          <w:tcPr>
            <w:tcW w:type="dxa" w:w="5479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Орална хирургија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Академска каријера</w:t>
            </w:r>
          </w:p>
        </w:tc>
      </w:tr>
      <w:tr>
        <w:tblPrEx>
          <w:shd w:val="clear" w:color="auto" w:fill="ced7e7"/>
        </w:tblPrEx>
        <w:trPr>
          <w:trHeight w:val="310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Година 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Институција 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Ужа научна област 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Избор у садашње звање </w:t>
            </w:r>
          </w:p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2018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 xml:space="preserve"> Медицински факултет – Приштина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Орална хирургија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Докторат</w:t>
            </w:r>
          </w:p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2013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Медицински факултет – Приштина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Орална хирургија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Специјализација</w:t>
            </w:r>
          </w:p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ru-RU"/>
              </w:rPr>
              <w:t>2010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Медицински факултет – Приштина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Орална хирургија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Магистратура</w:t>
            </w:r>
          </w:p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jc w:val="center"/>
            </w:pPr>
            <w:r>
              <w:rPr>
                <w:sz w:val="18"/>
                <w:szCs w:val="18"/>
                <w:rtl w:val="0"/>
                <w:lang w:val="en-US"/>
              </w:rPr>
              <w:t>/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jc w:val="center"/>
            </w:pPr>
            <w:r>
              <w:rPr>
                <w:sz w:val="18"/>
                <w:szCs w:val="18"/>
                <w:rtl w:val="0"/>
                <w:lang w:val="en-US"/>
              </w:rPr>
              <w:t>/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jc w:val="center"/>
            </w:pPr>
            <w:r>
              <w:rPr>
                <w:sz w:val="18"/>
                <w:szCs w:val="18"/>
                <w:rtl w:val="0"/>
                <w:lang w:val="en-US"/>
              </w:rPr>
              <w:t>/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2064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Диплома</w:t>
            </w:r>
          </w:p>
        </w:tc>
        <w:tc>
          <w:tcPr>
            <w:tcW w:type="dxa" w:w="10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1997</w:t>
            </w:r>
          </w:p>
        </w:tc>
        <w:tc>
          <w:tcPr>
            <w:tcW w:type="dxa" w:w="3668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Медицински факултет – Приштина</w:t>
            </w:r>
          </w:p>
        </w:tc>
        <w:tc>
          <w:tcPr>
            <w:tcW w:type="dxa" w:w="30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18"/>
                <w:szCs w:val="18"/>
                <w:rtl w:val="0"/>
                <w:lang w:val="en-US"/>
              </w:rPr>
              <w:t>C</w:t>
            </w:r>
            <w:r>
              <w:rPr>
                <w:sz w:val="18"/>
                <w:szCs w:val="18"/>
                <w:rtl w:val="0"/>
                <w:lang w:val="en-US"/>
              </w:rPr>
              <w:t>томатологиј</w:t>
            </w:r>
            <w:r>
              <w:rPr>
                <w:sz w:val="18"/>
                <w:szCs w:val="18"/>
                <w:rtl w:val="0"/>
                <w:lang w:val="en-US"/>
              </w:rPr>
              <w:t>a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Списак предмета на којима је наставник ангажован</w:t>
            </w:r>
          </w:p>
        </w:tc>
      </w:tr>
      <w:tr>
        <w:tblPrEx>
          <w:shd w:val="clear" w:color="auto" w:fill="ced7e7"/>
        </w:tblPrEx>
        <w:trPr>
          <w:trHeight w:val="909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rtl w:val="0"/>
                <w:lang w:val="en-US"/>
              </w:rPr>
              <w:t>Орална хирургија</w:t>
            </w:r>
            <w:r>
              <w:rPr>
                <w:sz w:val="18"/>
                <w:szCs w:val="18"/>
                <w:rtl w:val="0"/>
                <w:lang w:val="ru-RU"/>
              </w:rPr>
              <w:t xml:space="preserve">  – Интегрисане академске студије за доктора стоматологије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sz w:val="18"/>
                <w:szCs w:val="18"/>
                <w:rtl w:val="0"/>
              </w:rPr>
            </w:pPr>
            <w:r>
              <w:rPr>
                <w:sz w:val="18"/>
                <w:szCs w:val="18"/>
                <w:rtl w:val="0"/>
                <w:lang w:val="en-US"/>
              </w:rPr>
              <w:t xml:space="preserve">Орална имплантологија </w:t>
            </w:r>
            <w:r>
              <w:rPr>
                <w:sz w:val="18"/>
                <w:szCs w:val="18"/>
                <w:rtl w:val="0"/>
                <w:lang w:val="ru-RU"/>
              </w:rPr>
              <w:t>– Интегрисане академске студије за доктора стоматологије</w:t>
            </w:r>
            <w:r>
              <w:rPr>
                <w:sz w:val="18"/>
                <w:szCs w:val="18"/>
                <w:rtl w:val="0"/>
                <w:lang w:val="en-US"/>
              </w:rPr>
              <w:t xml:space="preserve"> 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sz w:val="18"/>
                <w:szCs w:val="18"/>
                <w:rtl w:val="0"/>
              </w:rPr>
            </w:pPr>
            <w:r>
              <w:rPr>
                <w:sz w:val="18"/>
                <w:szCs w:val="18"/>
                <w:rtl w:val="0"/>
                <w:lang w:val="en-US"/>
              </w:rPr>
              <w:t>Антибиотици у стоматологији</w:t>
            </w:r>
            <w:r>
              <w:rPr>
                <w:sz w:val="18"/>
                <w:szCs w:val="18"/>
                <w:rtl w:val="0"/>
                <w:lang w:val="ru-RU"/>
              </w:rPr>
              <w:t xml:space="preserve"> – Интегрисане академске студије за доктора стоматологије</w:t>
            </w:r>
            <w:r>
              <w:rPr>
                <w:sz w:val="18"/>
                <w:szCs w:val="18"/>
                <w:rtl w:val="0"/>
                <w:lang w:val="en-US"/>
              </w:rPr>
              <w:t xml:space="preserve"> 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18"/>
                <w:szCs w:val="18"/>
                <w:rtl w:val="0"/>
                <w:lang w:val="en-US"/>
              </w:rPr>
              <w:t xml:space="preserve"> Хемостаза у стоматолошкој пракси</w:t>
            </w:r>
            <w:r>
              <w:rPr>
                <w:sz w:val="18"/>
                <w:szCs w:val="18"/>
                <w:rtl w:val="0"/>
                <w:lang w:val="ru-RU"/>
              </w:rPr>
              <w:t xml:space="preserve"> – Интегрисане академске студије за доктора стоматологије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Репрезентативне референце 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>(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минимално 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5 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не више од </w:t>
            </w:r>
            <w:r>
              <w:rPr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20) - </w:t>
            </w:r>
            <w:r>
              <w:rPr>
                <w:b w:val="1"/>
                <w:bCs w:val="1"/>
                <w:outline w:val="0"/>
                <w:color w:val="c00000"/>
                <w:sz w:val="18"/>
                <w:szCs w:val="18"/>
                <w:u w:color="c00000"/>
                <w:rtl w:val="0"/>
                <w:lang w:val="en-US"/>
                <w14:textFill>
                  <w14:solidFill>
                    <w14:srgbClr w14:val="C00000"/>
                  </w14:solidFill>
                </w14:textFill>
              </w:rPr>
              <w:t>по значају од новијих ка старијим</w:t>
            </w:r>
          </w:p>
        </w:tc>
      </w:tr>
      <w:tr>
        <w:tblPrEx>
          <w:shd w:val="clear" w:color="auto" w:fill="ced7e7"/>
        </w:tblPrEx>
        <w:trPr>
          <w:trHeight w:val="1074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sz w:val="18"/>
                <w:szCs w:val="18"/>
                <w:rtl w:val="0"/>
                <w:lang w:val="en-US"/>
              </w:rPr>
              <w:t>1.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14:textFill>
                  <w14:solidFill>
                    <w14:srgbClr w14:val="FF0000"/>
                  </w14:solidFill>
                </w14:textFill>
              </w:rPr>
            </w:pPr>
            <w:r>
              <w:rPr>
                <w:b w:val="0"/>
                <w:bCs w:val="0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Mladenovic R, Lap P, Djordjevic F, </w:t>
            </w: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Vlahovic Z, </w:t>
            </w:r>
            <w:r>
              <w:rPr>
                <w:b w:val="0"/>
                <w:bCs w:val="0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Mladenovic K, Cvetkovic A, Martinovic B, Mladenovic J</w:t>
            </w:r>
            <w:r>
              <w:rPr>
                <w:b w:val="1"/>
                <w:bCs w:val="1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,</w:t>
            </w:r>
            <w:r>
              <w:rPr>
                <w:b w:val="0"/>
                <w:bCs w:val="0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Popovski J,;The use of mobile-aided learning in education of locl anesthsia for the inferior alveolar nerve block</w:t>
            </w:r>
            <w:r>
              <w:rPr>
                <w:b w:val="0"/>
                <w:bCs w:val="0"/>
                <w:i w:val="1"/>
                <w:iCs w:val="1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b w:val="0"/>
                <w:bCs w:val="0"/>
                <w:outline w:val="0"/>
                <w:color w:val="000000"/>
                <w:sz w:val="22"/>
                <w:szCs w:val="22"/>
                <w:u w:color="000000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 xml:space="preserve"> Vojnosanitetski pregled 2018 DOI 10.2298/VSP180622154M. </w:t>
            </w:r>
            <w:r>
              <w:rPr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M23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outline w:val="0"/>
                <w:color w:val="0840ff"/>
                <w:sz w:val="22"/>
                <w:szCs w:val="22"/>
                <w:u w:val="single" w:color="ff0000"/>
                <w:rtl w:val="0"/>
                <w:lang w:val="en-US"/>
                <w14:textFill>
                  <w14:solidFill>
                    <w14:srgbClr w14:val="0840FF"/>
                  </w14:solidFill>
                </w14:textFill>
              </w:rPr>
              <w:t xml:space="preserve">https://www.researchgate.net/project/Mobile-Aided-Learning   </w:t>
            </w:r>
          </w:p>
        </w:tc>
      </w:tr>
      <w:tr>
        <w:tblPrEx>
          <w:shd w:val="clear" w:color="auto" w:fill="ced7e7"/>
        </w:tblPrEx>
        <w:trPr>
          <w:trHeight w:val="897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sz w:val="18"/>
                <w:szCs w:val="18"/>
                <w:rtl w:val="0"/>
                <w:lang w:val="en-US"/>
              </w:rPr>
              <w:t>2.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sz w:val="22"/>
                <w:szCs w:val="22"/>
                <w:rtl w:val="0"/>
                <w:lang w:val="en-US"/>
              </w:rPr>
              <w:t>Subaric LJ, Mitic A, Matvijenko V, Jovanovic R, Zivkovic D, Peric D,</w:t>
            </w: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>Vlahovic Z</w:t>
            </w:r>
            <w:r>
              <w:rPr>
                <w:b w:val="1"/>
                <w:bCs w:val="1"/>
                <w:sz w:val="22"/>
                <w:szCs w:val="22"/>
                <w:u w:val="single"/>
                <w:rtl w:val="0"/>
                <w:lang w:val="en-US"/>
              </w:rPr>
              <w:t xml:space="preserve">. </w:t>
            </w:r>
            <w:r>
              <w:rPr>
                <w:sz w:val="22"/>
                <w:szCs w:val="22"/>
                <w:rtl w:val="0"/>
                <w:lang w:val="en-US"/>
              </w:rPr>
              <w:t>Interleukin 1-beta analysis in chronically inflamed and helthy human pulp.</w:t>
            </w:r>
            <w:r>
              <w:rPr>
                <w:outline w:val="0"/>
                <w:color w:val="ff2d21"/>
                <w:sz w:val="22"/>
                <w:szCs w:val="22"/>
                <w:u w:color="ff2d21"/>
                <w:rtl w:val="0"/>
                <w:lang w:val="en-US"/>
                <w14:textFill>
                  <w14:solidFill>
                    <w14:srgbClr w14:val="FF2D21"/>
                  </w14:solidFill>
                </w14:textFill>
              </w:rPr>
              <w:t xml:space="preserve"> </w:t>
            </w:r>
            <w:r>
              <w:rPr>
                <w:sz w:val="22"/>
                <w:szCs w:val="22"/>
                <w:rtl w:val="0"/>
                <w:lang w:val="en-US"/>
              </w:rPr>
              <w:t>Vojnosanitetski pregled</w:t>
            </w: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sz w:val="22"/>
                <w:szCs w:val="22"/>
                <w:rtl w:val="0"/>
                <w:lang w:val="en-US"/>
              </w:rPr>
              <w:t xml:space="preserve">2017;74(3):256-260 </w:t>
            </w:r>
            <w:r>
              <w:rPr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М</w:t>
            </w:r>
            <w:r>
              <w:rPr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23</w:t>
            </w:r>
            <w:r>
              <w:rPr>
                <w:rtl w:val="0"/>
                <w:lang w:val="en-US"/>
              </w:rPr>
              <w:t xml:space="preserve">  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www.doiserbia.nb.rs/img/doi/.../2017/0042-84501600172S.pdf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240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3.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22"/>
                <w:szCs w:val="22"/>
                <w:rtl w:val="0"/>
                <w:lang w:val="en-US"/>
              </w:rPr>
              <w:t>Dubovina D, Mihailovic B, Bukumiric Z,</w:t>
            </w:r>
            <w:r>
              <w:rPr>
                <w:rStyle w:val="None"/>
                <w:sz w:val="22"/>
                <w:szCs w:val="22"/>
                <w:u w:val="single"/>
                <w:rtl w:val="0"/>
                <w:lang w:val="en-US"/>
              </w:rPr>
              <w:t xml:space="preserve">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Vlahovic Z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, Miladinovic M, Lazic Z. The use of hyaluronic and aminocaproic acid in the treatment of alveolar osteitis.Vojnosanitetski pregled</w:t>
            </w:r>
            <w:r>
              <w:rPr>
                <w:rStyle w:val="None"/>
                <w:rFonts w:ascii="Calibri" w:hAnsi="Calibri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2016;73(11):1016-1021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  М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23  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https://pdfs.semanticscholar.org/.../5250b4cc9611d19a4dda9d70</w:t>
            </w:r>
            <w:r>
              <w:rPr/>
            </w:r>
            <w:r>
              <w:rPr>
                <w:rStyle w:val="None"/>
                <w:rtl w:val="0"/>
                <w:lang w:val="en-US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859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4.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22"/>
                <w:szCs w:val="22"/>
                <w:rtl w:val="0"/>
                <w:lang w:val="en-US"/>
              </w:rPr>
              <w:t>Videnovi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G, Ili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D, Milju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š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D, Krasi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D, </w:t>
            </w:r>
            <w:r>
              <w:rPr>
                <w:rStyle w:val="None"/>
                <w:b w:val="1"/>
                <w:bCs w:val="1"/>
                <w:sz w:val="22"/>
                <w:szCs w:val="22"/>
                <w:u w:val="single"/>
                <w:rtl w:val="0"/>
                <w:lang w:val="en-US"/>
              </w:rPr>
              <w:t>Vlahovi</w:t>
            </w:r>
            <w:r>
              <w:rPr>
                <w:rStyle w:val="None"/>
                <w:b w:val="1"/>
                <w:bCs w:val="1"/>
                <w:sz w:val="22"/>
                <w:szCs w:val="22"/>
                <w:u w:val="single"/>
                <w:rtl w:val="0"/>
                <w:lang w:val="en-US"/>
              </w:rPr>
              <w:t xml:space="preserve">ć </w:t>
            </w:r>
            <w:r>
              <w:rPr>
                <w:rStyle w:val="None"/>
                <w:b w:val="1"/>
                <w:bCs w:val="1"/>
                <w:sz w:val="22"/>
                <w:szCs w:val="22"/>
                <w:u w:val="single"/>
                <w:rtl w:val="0"/>
                <w:lang w:val="en-US"/>
              </w:rPr>
              <w:t>Z,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Ž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ivkovi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S, Pavlovi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A. Lip, oral, 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  cavity and pharyngeal cancers in the population of the city of Belgrade in period 1999. - 2010.Vojnosanitetski pregled.</w:t>
            </w:r>
            <w:r>
              <w:rPr>
                <w:rStyle w:val="None"/>
                <w:rFonts w:ascii="Calibri" w:hAnsi="Calibri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2016;73(1):53-58  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М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23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www.doiserbia.nb.rs/img/doi/0042.../0042-84501500023V.pdf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234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5.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22"/>
                <w:szCs w:val="22"/>
                <w:rtl w:val="0"/>
                <w:lang w:val="en-US"/>
              </w:rPr>
              <w:t>Markovi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ć</w:t>
            </w:r>
            <w:r>
              <w:rPr>
                <w:rStyle w:val="None"/>
                <w:sz w:val="22"/>
                <w:szCs w:val="22"/>
                <w:rtl w:val="0"/>
                <w:lang w:val="it-IT"/>
              </w:rPr>
              <w:t xml:space="preserve"> A, Lazi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Z, Mi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š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T,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Šć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epanovi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M, Todorovi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A,Thakare K, Janji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B,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Z.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Effect of surgical drill guide and irrigans temperature on thermal bone changes during drilling implant sites. Thermographic anlysis on bovine ribs.Vojnosanitetski pregled.</w:t>
            </w:r>
            <w:r>
              <w:rPr>
                <w:rStyle w:val="None"/>
                <w:rFonts w:ascii="Calibri" w:hAnsi="Calibri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2016;73(8):744-750 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>М</w:t>
            </w:r>
            <w:r>
              <w:rPr>
                <w:rStyle w:val="None"/>
                <w:b w:val="1"/>
                <w:bCs w:val="1"/>
                <w:outline w:val="0"/>
                <w:color w:val="ff0000"/>
                <w:sz w:val="22"/>
                <w:szCs w:val="22"/>
                <w:u w:color="ff0000"/>
                <w:rtl w:val="0"/>
                <w:lang w:val="en-US"/>
                <w14:textFill>
                  <w14:solidFill>
                    <w14:srgbClr w14:val="FF0000"/>
                  </w14:solidFill>
                </w14:textFill>
              </w:rPr>
              <w:t xml:space="preserve">23            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http://www.vma.mod.gov.rs/vsp_8_2016.pdf</w:t>
            </w:r>
            <w:r>
              <w:rPr/>
            </w:r>
            <w:r>
              <w:rPr>
                <w:rStyle w:val="None"/>
                <w:rtl w:val="0"/>
                <w:lang w:val="en-US"/>
              </w:rPr>
              <w:t xml:space="preserve">      </w:t>
            </w:r>
          </w:p>
        </w:tc>
      </w:tr>
      <w:tr>
        <w:tblPrEx>
          <w:shd w:val="clear" w:color="auto" w:fill="ced7e7"/>
        </w:tblPrEx>
        <w:trPr>
          <w:trHeight w:val="1134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6.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Z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, Markovi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A, Lazi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Z,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Šć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epanovi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M, Djini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A, Kalanovi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M. Histopathological comparative analysis of periimplant bone inflammatory response after dental implant insertion using flap and flapless surgical technique.An experimental study in pigs. Clinical Oral Implants Research 07/2016; DOI:10.1111/clr.12919 </w:t>
            </w:r>
            <w:r>
              <w:rPr>
                <w:rStyle w:val="None"/>
                <w:b w:val="1"/>
                <w:bCs w:val="1"/>
                <w:outline w:val="0"/>
                <w:color w:val="e62305"/>
                <w:sz w:val="22"/>
                <w:szCs w:val="22"/>
                <w:u w:color="e62305"/>
                <w:rtl w:val="0"/>
                <w:lang w:val="en-US"/>
                <w14:textFill>
                  <w14:solidFill>
                    <w14:srgbClr w14:val="E62305"/>
                  </w14:solidFill>
                </w14:textFill>
              </w:rPr>
              <w:t>M21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 xml:space="preserve"> https://www.ncbi.nlm.nih.gov/pubmed/25039366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030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7. 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60"/>
            </w:pPr>
            <w:r>
              <w:rPr>
                <w:rStyle w:val="None"/>
                <w:sz w:val="22"/>
                <w:szCs w:val="22"/>
                <w:rtl w:val="0"/>
                <w:lang w:val="it-IT"/>
              </w:rPr>
              <w:t>Lazi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Z, Golubovi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M, Markovi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A,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Šć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epanovi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M, Mi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š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i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T  and 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Z.    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Immuno-histochemical analysis of blood vessels in peri-implant mucosa: a comparison between mini-incision flapless and flap surgeries in domestic pigs. Clin. Oral Impl. Res. 26, 2015 775-779 DOI: 10. 1111/clr.12337 </w:t>
            </w:r>
            <w:r>
              <w:rPr>
                <w:rStyle w:val="None"/>
                <w:b w:val="1"/>
                <w:bCs w:val="1"/>
                <w:outline w:val="0"/>
                <w:color w:val="e62305"/>
                <w:sz w:val="22"/>
                <w:szCs w:val="22"/>
                <w:u w:color="e62305"/>
                <w:rtl w:val="0"/>
                <w:lang w:val="en-US"/>
                <w14:textFill>
                  <w14:solidFill>
                    <w14:srgbClr w14:val="E62305"/>
                  </w14:solidFill>
                </w14:textFill>
              </w:rPr>
              <w:t>M21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https://www.ncbi.nlm.nih.gov/pubmed/24438481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030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8.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before="60"/>
            </w:pP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Martinez C. P. A,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Vlahovic Z,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 Scepanovic M, Videnovic G, Barone A, Calvo Guirado J L. . </w:t>
            </w:r>
            <w:r>
              <w:rPr>
                <w:rStyle w:val="Hyperlink.1"/>
                <w:sz w:val="22"/>
                <w:szCs w:val="22"/>
                <w:lang w:val="en-US"/>
              </w:rPr>
            </w:r>
            <w:r>
              <w:rPr>
                <w:rStyle w:val="Hyperlink.1"/>
                <w:sz w:val="22"/>
                <w:szCs w:val="22"/>
                <w:lang w:val="en-US"/>
              </w:rPr>
              <w:instrText xml:space="preserve"/>
            </w:r>
            <w:r>
              <w:rPr>
                <w:rStyle w:val="Hyperlink.1"/>
                <w:sz w:val="22"/>
                <w:szCs w:val="22"/>
                <w:lang w:val="en-US"/>
              </w:rPr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Submerged flapless technique vs. conventional flap approach for implant placement: experimental domestic pig study with 12-month follow-up.</w:t>
            </w:r>
            <w:r>
              <w:rPr/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 Clinical Oral Implants Research 07/2015; DOI:10.1111/clr.12665 </w:t>
            </w:r>
            <w:r>
              <w:rPr>
                <w:rStyle w:val="None"/>
                <w:b w:val="1"/>
                <w:bCs w:val="1"/>
                <w:outline w:val="0"/>
                <w:color w:val="e62305"/>
                <w:sz w:val="22"/>
                <w:szCs w:val="22"/>
                <w:u w:color="e62305"/>
                <w:rtl w:val="0"/>
                <w:lang w:val="en-US"/>
                <w14:textFill>
                  <w14:solidFill>
                    <w14:srgbClr w14:val="E62305"/>
                  </w14:solidFill>
                </w14:textFill>
              </w:rPr>
              <w:t>M21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onlinelibrary.wiley.com/doi/10.1111/clr.12665/abstract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1134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9.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Z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, Markovi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A, Golubovi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M,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Šć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epanovi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M, Kalanovi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ć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M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.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Histopethological Comparative Analysis Of Periimplant Soft Tissue Response After Dental Implant Placement With Flap And Flapless Surgical Technique. Experimental Study In Pigs. Clin. Oral Impl. Res</w:t>
            </w:r>
            <w:r>
              <w:rPr>
                <w:rStyle w:val="None"/>
                <w:b w:val="1"/>
                <w:bCs w:val="1"/>
                <w:i w:val="1"/>
                <w:i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26, 2015 1309-1314</w:t>
            </w:r>
            <w:r>
              <w:rPr>
                <w:rStyle w:val="None"/>
                <w:b w:val="1"/>
                <w:bCs w:val="1"/>
                <w:i w:val="1"/>
                <w:i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 DOI: 10.1111/clr.12456 </w:t>
            </w:r>
            <w:r>
              <w:rPr>
                <w:rStyle w:val="None"/>
                <w:b w:val="1"/>
                <w:bCs w:val="1"/>
                <w:outline w:val="0"/>
                <w:color w:val="e62305"/>
                <w:sz w:val="22"/>
                <w:szCs w:val="22"/>
                <w:u w:color="e62305"/>
                <w:rtl w:val="0"/>
                <w:lang w:val="en-US"/>
                <w14:textFill>
                  <w14:solidFill>
                    <w14:srgbClr w14:val="E62305"/>
                  </w14:solidFill>
                </w14:textFill>
              </w:rPr>
              <w:t>M21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https://www.ncbi.nlm.nih.gov/pubmed/25039366</w:t>
            </w:r>
            <w:r>
              <w:rPr/>
            </w:r>
            <w:r>
              <w:rPr>
                <w:rStyle w:val="None"/>
                <w:rtl w:val="0"/>
                <w:lang w:val="en-US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1090" w:hRule="atLeast"/>
        </w:trPr>
        <w:tc>
          <w:tcPr>
            <w:tcW w:type="dxa" w:w="57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line="276" w:lineRule="auto"/>
              <w:jc w:val="right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10.</w:t>
            </w:r>
          </w:p>
        </w:tc>
        <w:tc>
          <w:tcPr>
            <w:tcW w:type="dxa" w:w="9319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spacing w:after="60"/>
              <w:jc w:val="both"/>
            </w:pP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Vlahovic Z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, Mihailovic B, Lazic Z, Golubovic M.. The comparative radiographic and resonance frequency analysis of the peri-implant tissue after dental implants placement with flap and flapless technique: an experimental study in domestic pigs. Vojnosanitetski Pregled</w:t>
            </w:r>
            <w:r>
              <w:rPr>
                <w:rStyle w:val="None"/>
                <w:b w:val="1"/>
                <w:bCs w:val="1"/>
                <w:i w:val="1"/>
                <w:iCs w:val="1"/>
                <w:sz w:val="22"/>
                <w:szCs w:val="22"/>
                <w:rtl w:val="0"/>
                <w:lang w:val="en-US"/>
              </w:rPr>
              <w:t xml:space="preserve"> </w:t>
            </w:r>
            <w:r>
              <w:rPr>
                <w:rStyle w:val="None"/>
                <w:i w:val="1"/>
                <w:iCs w:val="1"/>
                <w:sz w:val="22"/>
                <w:szCs w:val="22"/>
                <w:rtl w:val="0"/>
                <w:lang w:val="en-US"/>
              </w:rPr>
              <w:t xml:space="preserve">2013; 70 (6) 1-10. </w:t>
            </w:r>
            <w:r>
              <w:rPr>
                <w:rStyle w:val="None"/>
                <w:b w:val="1"/>
                <w:bCs w:val="1"/>
                <w:outline w:val="0"/>
                <w:color w:val="e62305"/>
                <w:sz w:val="22"/>
                <w:szCs w:val="22"/>
                <w:u w:color="e62305"/>
                <w:rtl w:val="0"/>
                <w:lang w:val="en-US"/>
                <w14:textFill>
                  <w14:solidFill>
                    <w14:srgbClr w14:val="E62305"/>
                  </w14:solidFill>
                </w14:textFill>
              </w:rPr>
              <w:t>M23</w:t>
            </w:r>
            <w:r>
              <w:rPr>
                <w:rStyle w:val="None"/>
                <w:rtl w:val="0"/>
                <w:lang w:val="en-US"/>
              </w:rPr>
              <w:t xml:space="preserve"> </w:t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/>
            </w:r>
            <w:r>
              <w:rPr>
                <w:rStyle w:val="Hyperlink.0"/>
                <w:outline w:val="0"/>
                <w:color w:val="0000ff"/>
                <w:u w:val="single" w:color="0000ff"/>
                <w:lang w:val="en-US"/>
                <w14:textFill>
                  <w14:solidFill>
                    <w14:srgbClr w14:val="0000FF"/>
                  </w14:solidFill>
                </w14:textFill>
              </w:rPr>
            </w:r>
            <w:r>
              <w:rPr>
                <w:rStyle w:val="Hyperlink.0"/>
                <w:outline w:val="0"/>
                <w:color w:val="0000ff"/>
                <w:u w:val="single" w:color="0000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www.doiserbia.nb.rs/img/doi/0042.../0042-84501306586V.pdf</w:t>
            </w:r>
            <w:r>
              <w:rPr/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b w:val="1"/>
                <w:bCs w:val="1"/>
                <w:sz w:val="18"/>
                <w:szCs w:val="18"/>
                <w:rtl w:val="0"/>
                <w:lang w:val="en-US"/>
              </w:rPr>
              <w:t xml:space="preserve">Збирни подаци научне и стручне активности наставника 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409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Укупан број цитата</w:t>
            </w:r>
          </w:p>
        </w:tc>
        <w:tc>
          <w:tcPr>
            <w:tcW w:type="dxa" w:w="580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3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22" w:hRule="atLeast"/>
        </w:trPr>
        <w:tc>
          <w:tcPr>
            <w:tcW w:type="dxa" w:w="409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Укупан број радова са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SCI (SSCI)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листе</w:t>
            </w:r>
          </w:p>
        </w:tc>
        <w:tc>
          <w:tcPr>
            <w:tcW w:type="dxa" w:w="20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SCI 1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2</w:t>
            </w:r>
          </w:p>
        </w:tc>
        <w:tc>
          <w:tcPr>
            <w:tcW w:type="dxa" w:w="372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SSCI </w:t>
            </w:r>
          </w:p>
        </w:tc>
      </w:tr>
      <w:tr>
        <w:tblPrEx>
          <w:shd w:val="clear" w:color="auto" w:fill="ced7e7"/>
        </w:tblPrEx>
        <w:trPr>
          <w:trHeight w:val="2740" w:hRule="atLeast"/>
        </w:trPr>
        <w:tc>
          <w:tcPr>
            <w:tcW w:type="dxa" w:w="4090"/>
            <w:gridSpan w:val="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Тренутно учешће на пројектима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називи пројеката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:</w:t>
            </w:r>
          </w:p>
        </w:tc>
        <w:tc>
          <w:tcPr>
            <w:tcW w:type="dxa" w:w="20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rStyle w:val="None"/>
                <w:sz w:val="18"/>
                <w:szCs w:val="18"/>
              </w:rPr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Домаћи</w:t>
            </w:r>
          </w:p>
          <w:p>
            <w:pPr>
              <w:pStyle w:val="Normal.0"/>
              <w:bidi w:val="0"/>
              <w:spacing w:line="276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Јуниор пројекат под називом “УТИЦАЈ ГУСТИНЕ КОСТИ НА ПРИМАРНУ СТАБИЛНОСТ И ОСЕОИНТЕГРАЦИЈУ ДЕНТАЛНИХ ИМПЛАНТАТА”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.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Руководиоц пројекта  проф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.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др Зоран Влаховић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,</w:t>
            </w:r>
          </w:p>
        </w:tc>
        <w:tc>
          <w:tcPr>
            <w:tcW w:type="dxa" w:w="372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>Међународни</w:t>
            </w:r>
          </w:p>
        </w:tc>
      </w:tr>
      <w:tr>
        <w:tblPrEx>
          <w:shd w:val="clear" w:color="auto" w:fill="ced7e7"/>
        </w:tblPrEx>
        <w:trPr>
          <w:trHeight w:val="680" w:hRule="atLeast"/>
        </w:trPr>
        <w:tc>
          <w:tcPr>
            <w:tcW w:type="dxa" w:w="189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Усавршавања </w:t>
            </w:r>
          </w:p>
        </w:tc>
        <w:tc>
          <w:tcPr>
            <w:tcW w:type="dxa" w:w="7996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198" w:hRule="atLeast"/>
        </w:trPr>
        <w:tc>
          <w:tcPr>
            <w:tcW w:type="dxa" w:w="9890"/>
            <w:gridSpan w:val="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line="276" w:lineRule="auto"/>
              <w:rPr>
                <w:rStyle w:val="None"/>
                <w:sz w:val="18"/>
                <w:szCs w:val="18"/>
              </w:rPr>
            </w:pP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Други подаци које сматрате релевантним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(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објављене публикације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радови на конгресима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студијска путовања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чланства и ангажовања у стручним и научним организацијама</w:t>
            </w:r>
            <w:r>
              <w:rPr>
                <w:rStyle w:val="None"/>
                <w:sz w:val="18"/>
                <w:szCs w:val="18"/>
                <w:rtl w:val="0"/>
                <w:lang w:val="en-US"/>
              </w:rPr>
              <w:t>)</w:t>
            </w:r>
          </w:p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bidi w:val="0"/>
              <w:ind w:left="690" w:right="0" w:firstLine="0"/>
              <w:jc w:val="both"/>
              <w:rPr>
                <w:rStyle w:val="None"/>
                <w:sz w:val="22"/>
                <w:szCs w:val="22"/>
                <w:rtl w:val="0"/>
              </w:rPr>
            </w:pP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>Зоран Влаховић</w:t>
            </w:r>
            <w:r>
              <w:rPr>
                <w:rStyle w:val="None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Дејан Дубовина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Миодраг Шћепановић </w:t>
            </w:r>
          </w:p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bidi w:val="0"/>
              <w:ind w:left="690" w:right="0" w:firstLine="0"/>
              <w:jc w:val="both"/>
              <w:rPr>
                <w:rStyle w:val="None"/>
                <w:sz w:val="22"/>
                <w:szCs w:val="22"/>
                <w:rtl w:val="0"/>
              </w:rPr>
            </w:pPr>
            <w:r>
              <w:rPr>
                <w:rStyle w:val="None"/>
                <w:sz w:val="22"/>
                <w:szCs w:val="22"/>
                <w:rtl w:val="0"/>
                <w:lang w:val="en-US"/>
              </w:rPr>
              <w:t>Практикум из оралне имплантологије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 xml:space="preserve">, 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Косовска Митровица</w:t>
            </w:r>
            <w:r>
              <w:rPr>
                <w:rStyle w:val="None"/>
                <w:sz w:val="22"/>
                <w:szCs w:val="22"/>
                <w:rtl w:val="0"/>
                <w:lang w:val="en-US"/>
              </w:rPr>
              <w:t>, 2017</w:t>
            </w:r>
          </w:p>
          <w:p>
            <w:pPr>
              <w:pStyle w:val="Normal.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bidi w:val="0"/>
              <w:ind w:left="690" w:right="0" w:firstLine="0"/>
              <w:jc w:val="both"/>
              <w:rPr>
                <w:rtl w:val="0"/>
              </w:rPr>
            </w:pPr>
            <w:r>
              <w:rPr>
                <w:rStyle w:val="Hyperlink.1"/>
                <w:sz w:val="22"/>
                <w:szCs w:val="22"/>
                <w:rtl w:val="0"/>
                <w:lang w:val="en-US"/>
              </w:rPr>
              <w:t xml:space="preserve">ИСБН </w:t>
            </w:r>
            <w:r>
              <w:rPr>
                <w:rStyle w:val="Hyperlink.1"/>
                <w:sz w:val="22"/>
                <w:szCs w:val="22"/>
                <w:rtl w:val="0"/>
                <w:lang w:val="en-US"/>
              </w:rPr>
              <w:t>978-86-80601-80-9;</w:t>
            </w:r>
          </w:p>
        </w:tc>
      </w:tr>
    </w:tbl>
    <w:p>
      <w:pPr>
        <w:pStyle w:val="Normal.0"/>
        <w:widowControl w:val="0"/>
        <w:ind w:left="216" w:hanging="216"/>
        <w:rPr>
          <w:rStyle w:val="None"/>
          <w:sz w:val="28"/>
          <w:szCs w:val="28"/>
        </w:rPr>
      </w:pPr>
    </w:p>
    <w:p>
      <w:pPr>
        <w:pStyle w:val="Normal.0"/>
        <w:widowControl w:val="0"/>
        <w:ind w:left="108" w:hanging="108"/>
        <w:rPr>
          <w:rStyle w:val="None"/>
          <w:sz w:val="28"/>
          <w:szCs w:val="28"/>
        </w:rPr>
      </w:pPr>
    </w:p>
    <w:p>
      <w:pPr>
        <w:pStyle w:val="Normal.0"/>
        <w:widowControl w:val="0"/>
        <w:jc w:val="both"/>
      </w:pPr>
      <w:r>
        <w:rPr>
          <w:rStyle w:val="None"/>
          <w:sz w:val="28"/>
          <w:szCs w:val="28"/>
        </w:rPr>
      </w:r>
    </w:p>
    <w:sectPr>
      <w:headerReference w:type="default" r:id="rId4"/>
      <w:footerReference w:type="default" r:id="rId5"/>
      <w:pgSz w:w="12240" w:h="15840" w:orient="portrait"/>
      <w:pgMar w:top="567" w:right="1080" w:bottom="851" w:left="126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Times New Roman" w:cs="Times New Roman" w:hAnsi="Times New Roman" w:eastAsia="Times New Roman"/>
      <w:outline w:val="0"/>
      <w:color w:val="0000ff"/>
      <w:u w:val="single" w:color="0000ff"/>
      <w:lang w:val="en-US"/>
      <w14:textFill>
        <w14:solidFill>
          <w14:srgbClr w14:val="0000FF"/>
        </w14:solidFill>
      </w14:textFill>
    </w:rPr>
  </w:style>
  <w:style w:type="character" w:styleId="Hyperlink.1">
    <w:name w:val="Hyperlink.1"/>
    <w:basedOn w:val="None"/>
    <w:next w:val="Hyperlink.1"/>
    <w:rPr>
      <w:rFonts w:ascii="Times New Roman" w:cs="Times New Roman" w:hAnsi="Times New Roman" w:eastAsia="Times New Roman"/>
      <w:sz w:val="22"/>
      <w:szCs w:val="22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